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0D1B2A"/>
          <w:sz w:val="44"/>
        </w:rPr>
        <w:t>PROJECT REVIEW 3</w:t>
      </w:r>
    </w:p>
    <w:p>
      <w:pPr>
        <w:spacing w:after="280"/>
        <w:jc w:val="center"/>
      </w:pPr>
      <w:r>
        <w:rPr>
          <w:i/>
          <w:color w:val="5A5A5A"/>
          <w:sz w:val="24"/>
        </w:rPr>
        <w:t>AuxFlow: Static Analysis for Multi-Pass Document Compilation</w:t>
      </w:r>
    </w:p>
    <w:p>
      <w:pPr>
        <w:spacing w:before="360" w:after="120"/>
        <w:pBdr>
          <w:bottom w:val="single" w:sz="6" w:space="4" w:color="1B3A57"/>
        </w:pBdr>
      </w:pPr>
      <w:r>
        <w:rPr>
          <w:rFonts w:ascii="Calibri" w:hAnsi="Calibri"/>
          <w:b/>
          <w:color w:val="0D1B2A"/>
          <w:sz w:val="32"/>
        </w:rPr>
        <w:t>1. Project Details</w:t>
      </w:r>
    </w:p>
    <w:tbl>
      <w:tblPr>
        <w:tblStyle w:val="TableGrid"/>
        <w:tblW w:type="auto" w:w="0"/>
        <w:jc w:val="center"/>
        <w:tblLayout w:type="fixed"/>
        <w:tblLook w:firstColumn="1" w:firstRow="1" w:lastColumn="0" w:lastRow="0" w:noHBand="0" w:noVBand="1" w:val="04A0"/>
      </w:tblPr>
      <w:tblGrid>
        <w:gridCol w:w="2835"/>
        <w:gridCol w:w="5953"/>
      </w:tblGrid>
      <w:tr>
        <w:tc>
          <w:tcPr>
            <w:tcW w:type="dxa" w:w="4873"/>
            <w:shd w:val="clear" w:color="auto" w:fill="E6EDF3"/>
          </w:tcPr>
          <w:p>
            <w:r/>
            <w:r>
              <w:rPr>
                <w:rFonts w:ascii="Calibri" w:hAnsi="Calibri"/>
                <w:b/>
                <w:sz w:val="22"/>
              </w:rPr>
              <w:t>Project Title</w:t>
            </w:r>
          </w:p>
        </w:tc>
        <w:tc>
          <w:tcPr>
            <w:tcW w:type="dxa" w:w="4873"/>
          </w:tcPr>
          <w:p>
            <w:r/>
            <w:r>
              <w:rPr>
                <w:rFonts w:ascii="Calibri" w:hAnsi="Calibri"/>
                <w:b w:val="0"/>
                <w:sz w:val="22"/>
              </w:rPr>
              <w:t>AuxFlow: Static Analysis for Multi-Pass Document Compilation</w:t>
            </w:r>
          </w:p>
        </w:tc>
      </w:tr>
      <w:tr>
        <w:tc>
          <w:tcPr>
            <w:tcW w:type="dxa" w:w="4873"/>
            <w:shd w:val="clear" w:color="auto" w:fill="E6EDF3"/>
          </w:tcPr>
          <w:p>
            <w:r/>
            <w:r>
              <w:rPr>
                <w:rFonts w:ascii="Calibri" w:hAnsi="Calibri"/>
                <w:b/>
                <w:sz w:val="22"/>
              </w:rPr>
              <w:t>Student Name(s)</w:t>
            </w:r>
          </w:p>
        </w:tc>
        <w:tc>
          <w:tcPr>
            <w:tcW w:type="dxa" w:w="4873"/>
          </w:tcPr>
          <w:p>
            <w:r/>
            <w:r>
              <w:rPr>
                <w:rFonts w:ascii="Calibri" w:hAnsi="Calibri"/>
                <w:b w:val="0"/>
                <w:sz w:val="22"/>
              </w:rPr>
              <w:t>Upayan Mazumder</w:t>
            </w:r>
          </w:p>
        </w:tc>
      </w:tr>
      <w:tr>
        <w:tc>
          <w:tcPr>
            <w:tcW w:type="dxa" w:w="4873"/>
            <w:shd w:val="clear" w:color="auto" w:fill="E6EDF3"/>
          </w:tcPr>
          <w:p>
            <w:r/>
            <w:r>
              <w:rPr>
                <w:rFonts w:ascii="Calibri" w:hAnsi="Calibri"/>
                <w:b/>
                <w:sz w:val="22"/>
              </w:rPr>
              <w:t>Register Number(s)</w:t>
            </w:r>
          </w:p>
        </w:tc>
        <w:tc>
          <w:tcPr>
            <w:tcW w:type="dxa" w:w="4873"/>
          </w:tcPr>
          <w:p>
            <w:r/>
            <w:r>
              <w:rPr>
                <w:rFonts w:ascii="Calibri" w:hAnsi="Calibri"/>
                <w:b w:val="0"/>
                <w:sz w:val="22"/>
              </w:rPr>
              <w:t>24BDS0367</w:t>
            </w:r>
          </w:p>
        </w:tc>
      </w:tr>
      <w:tr>
        <w:tc>
          <w:tcPr>
            <w:tcW w:type="dxa" w:w="4873"/>
            <w:shd w:val="clear" w:color="auto" w:fill="E6EDF3"/>
          </w:tcPr>
          <w:p>
            <w:r/>
            <w:r>
              <w:rPr>
                <w:rFonts w:ascii="Calibri" w:hAnsi="Calibri"/>
                <w:b/>
                <w:sz w:val="22"/>
              </w:rPr>
              <w:t>Programme / Branch</w:t>
            </w:r>
          </w:p>
        </w:tc>
        <w:tc>
          <w:tcPr>
            <w:tcW w:type="dxa" w:w="4873"/>
          </w:tcPr>
          <w:p>
            <w:r/>
            <w:r>
              <w:rPr>
                <w:rFonts w:ascii="Calibri" w:hAnsi="Calibri"/>
                <w:b w:val="0"/>
                <w:sz w:val="22"/>
              </w:rPr>
              <w:t>B.Tech CSE (Data Science)</w:t>
            </w:r>
          </w:p>
        </w:tc>
      </w:tr>
      <w:tr>
        <w:tc>
          <w:tcPr>
            <w:tcW w:type="dxa" w:w="4873"/>
            <w:shd w:val="clear" w:color="auto" w:fill="E6EDF3"/>
          </w:tcPr>
          <w:p>
            <w:r/>
            <w:r>
              <w:rPr>
                <w:rFonts w:ascii="Calibri" w:hAnsi="Calibri"/>
                <w:b/>
                <w:sz w:val="22"/>
              </w:rPr>
              <w:t>Project Guide</w:t>
            </w:r>
          </w:p>
        </w:tc>
        <w:tc>
          <w:tcPr>
            <w:tcW w:type="dxa" w:w="4873"/>
          </w:tcPr>
          <w:p>
            <w:r/>
            <w:r>
              <w:rPr>
                <w:rFonts w:ascii="Calibri" w:hAnsi="Calibri"/>
                <w:b w:val="0"/>
                <w:sz w:val="22"/>
              </w:rPr>
              <w:t>Banupriya R</w:t>
            </w:r>
          </w:p>
        </w:tc>
      </w:tr>
      <w:tr>
        <w:tc>
          <w:tcPr>
            <w:tcW w:type="dxa" w:w="4873"/>
            <w:shd w:val="clear" w:color="auto" w:fill="E6EDF3"/>
          </w:tcPr>
          <w:p>
            <w:r/>
            <w:r>
              <w:rPr>
                <w:rFonts w:ascii="Calibri" w:hAnsi="Calibri"/>
                <w:b/>
                <w:sz w:val="22"/>
              </w:rPr>
              <w:t>Review Date</w:t>
            </w:r>
          </w:p>
        </w:tc>
        <w:tc>
          <w:tcPr>
            <w:tcW w:type="dxa" w:w="4873"/>
          </w:tcPr>
          <w:p>
            <w:r/>
            <w:r>
              <w:rPr>
                <w:rFonts w:ascii="Calibri" w:hAnsi="Calibri"/>
                <w:b w:val="0"/>
                <w:sz w:val="22"/>
              </w:rPr>
              <w:t>31 October 2026</w:t>
            </w:r>
          </w:p>
        </w:tc>
      </w:tr>
    </w:tbl>
    <w:p/>
    <w:p>
      <w:pPr>
        <w:spacing w:before="360" w:after="120"/>
        <w:pBdr>
          <w:bottom w:val="single" w:sz="6" w:space="4" w:color="1B3A57"/>
        </w:pBdr>
      </w:pPr>
      <w:r>
        <w:rPr>
          <w:rFonts w:ascii="Calibri" w:hAnsi="Calibri"/>
          <w:b/>
          <w:color w:val="0D1B2A"/>
          <w:sz w:val="32"/>
        </w:rPr>
        <w:t>2. Project Overview</w:t>
      </w:r>
    </w:p>
    <w:p>
      <w:pPr>
        <w:spacing w:after="160"/>
      </w:pPr>
      <w:r>
        <w:rPr>
          <w:rFonts w:ascii="Calibri" w:hAnsi="Calibri"/>
          <w:b w:val="0"/>
          <w:sz w:val="22"/>
        </w:rPr>
        <w:t>AuxFlow is a static analysis tool for LaTeX documents that need more than one compilation pass. It parses the source, builds the Auxiliary Reference Graph (ARG), and classifies the document as CERTIFIED, BENIGN_CYCLIC, AMPLIFYING, or UNKNOWN before the engine runs. For a certified document it predicts the engine run count. A runtime verifier then checks the prediction against the real engine.</w:t>
      </w:r>
    </w:p>
    <w:p>
      <w:pPr>
        <w:spacing w:after="160"/>
      </w:pPr>
      <w:r>
        <w:rPr>
          <w:rFonts w:ascii="Calibri" w:hAnsi="Calibri"/>
          <w:b w:val="0"/>
          <w:sz w:val="22"/>
        </w:rPr>
        <w:t>Review 2 covered the front end and the IR (Phases 1 to 7). This document covers Phases 8 to 16: graph analysis, classification, build planning, runtime verification, and the evaluation.</w:t>
      </w:r>
    </w:p>
    <w:p>
      <w:pPr>
        <w:jc w:val="center"/>
      </w:pPr>
      <w:r>
        <w:drawing>
          <wp:inline xmlns:a="http://schemas.openxmlformats.org/drawingml/2006/main" xmlns:pic="http://schemas.openxmlformats.org/drawingml/2006/picture">
            <wp:extent cx="5580000" cy="3044194"/>
            <wp:docPr id="1" name="Picture 1"/>
            <wp:cNvGraphicFramePr>
              <a:graphicFrameLocks noChangeAspect="1"/>
            </wp:cNvGraphicFramePr>
            <a:graphic>
              <a:graphicData uri="http://schemas.openxmlformats.org/drawingml/2006/picture">
                <pic:pic>
                  <pic:nvPicPr>
                    <pic:cNvPr id="0" name="architecture.png"/>
                    <pic:cNvPicPr/>
                  </pic:nvPicPr>
                  <pic:blipFill>
                    <a:blip r:embed="rId9"/>
                    <a:stretch>
                      <a:fillRect/>
                    </a:stretch>
                  </pic:blipFill>
                  <pic:spPr>
                    <a:xfrm>
                      <a:off x="0" y="0"/>
                      <a:ext cx="5580000" cy="3044194"/>
                    </a:xfrm>
                    <a:prstGeom prst="rect"/>
                  </pic:spPr>
                </pic:pic>
              </a:graphicData>
            </a:graphic>
          </wp:inline>
        </w:drawing>
      </w:r>
    </w:p>
    <w:p>
      <w:pPr>
        <w:spacing w:after="200"/>
        <w:jc w:val="center"/>
      </w:pPr>
      <w:r>
        <w:rPr>
          <w:i/>
          <w:color w:val="5A5A5A"/>
          <w:sz w:val="20"/>
        </w:rPr>
        <w:t>Figure 1. AuxFlow compiler pipeline. Phases 8 to 16 are the subject of this document.</w:t>
      </w:r>
    </w:p>
    <w:p>
      <w:pPr>
        <w:spacing w:before="360" w:after="120"/>
        <w:pBdr>
          <w:bottom w:val="single" w:sz="6" w:space="4" w:color="1B3A57"/>
        </w:pBdr>
      </w:pPr>
      <w:r>
        <w:rPr>
          <w:rFonts w:ascii="Calibri" w:hAnsi="Calibri"/>
          <w:b/>
          <w:color w:val="0D1B2A"/>
          <w:sz w:val="32"/>
        </w:rPr>
        <w:t>3. Implementation Status</w:t>
      </w:r>
    </w:p>
    <w:p>
      <w:pPr>
        <w:spacing w:after="160"/>
      </w:pPr>
      <w:r>
        <w:rPr>
          <w:rFonts w:ascii="Calibri" w:hAnsi="Calibri"/>
          <w:b w:val="0"/>
          <w:sz w:val="22"/>
        </w:rPr>
        <w:t>Progress: 16 of 16 implementation phases complete (100% of the implementation plan).</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color="auto" w:fill="E6EDF3"/>
          </w:tcPr>
          <w:p>
            <w:r/>
            <w:r>
              <w:rPr>
                <w:rFonts w:ascii="Calibri" w:hAnsi="Calibri"/>
                <w:b/>
                <w:sz w:val="18"/>
              </w:rPr>
              <w:t>Phase</w:t>
            </w:r>
          </w:p>
        </w:tc>
        <w:tc>
          <w:tcPr>
            <w:tcW w:type="dxa" w:w="3249"/>
            <w:shd w:val="clear" w:color="auto" w:fill="E6EDF3"/>
          </w:tcPr>
          <w:p>
            <w:r/>
            <w:r>
              <w:rPr>
                <w:rFonts w:ascii="Calibri" w:hAnsi="Calibri"/>
                <w:b/>
                <w:sz w:val="18"/>
              </w:rPr>
              <w:t>Module</w:t>
            </w:r>
          </w:p>
        </w:tc>
        <w:tc>
          <w:tcPr>
            <w:tcW w:type="dxa" w:w="3249"/>
            <w:shd w:val="clear" w:color="auto" w:fill="E6EDF3"/>
          </w:tcPr>
          <w:p>
            <w:r/>
            <w:r>
              <w:rPr>
                <w:rFonts w:ascii="Calibri" w:hAnsi="Calibri"/>
                <w:b/>
                <w:sz w:val="18"/>
              </w:rPr>
              <w:t>Function</w:t>
            </w:r>
          </w:p>
        </w:tc>
      </w:tr>
      <w:tr>
        <w:tc>
          <w:tcPr>
            <w:tcW w:type="dxa" w:w="3249"/>
          </w:tcPr>
          <w:p>
            <w:r/>
            <w:r>
              <w:rPr>
                <w:rFonts w:ascii="Calibri" w:hAnsi="Calibri"/>
                <w:b w:val="0"/>
                <w:sz w:val="18"/>
              </w:rPr>
              <w:t>8</w:t>
            </w:r>
          </w:p>
        </w:tc>
        <w:tc>
          <w:tcPr>
            <w:tcW w:type="dxa" w:w="3249"/>
          </w:tcPr>
          <w:p>
            <w:r/>
            <w:r>
              <w:rPr>
                <w:rFonts w:ascii="Calibri" w:hAnsi="Calibri"/>
                <w:b w:val="0"/>
                <w:sz w:val="18"/>
              </w:rPr>
              <w:t>auxflow.analysis.scc</w:t>
            </w:r>
          </w:p>
        </w:tc>
        <w:tc>
          <w:tcPr>
            <w:tcW w:type="dxa" w:w="3249"/>
          </w:tcPr>
          <w:p>
            <w:r/>
            <w:r>
              <w:rPr>
                <w:rFonts w:ascii="Calibri" w:hAnsi="Calibri"/>
                <w:b w:val="0"/>
                <w:sz w:val="18"/>
              </w:rPr>
              <w:t>Iterative Tarjan SCC, condensation graph, cycle classes AMPLIFYING / UNKNOWN_CYCLE / BENIGN</w:t>
            </w:r>
          </w:p>
        </w:tc>
      </w:tr>
      <w:tr>
        <w:tc>
          <w:tcPr>
            <w:tcW w:type="dxa" w:w="3249"/>
          </w:tcPr>
          <w:p>
            <w:r/>
            <w:r>
              <w:rPr>
                <w:rFonts w:ascii="Calibri" w:hAnsi="Calibri"/>
                <w:b w:val="0"/>
                <w:sz w:val="18"/>
              </w:rPr>
              <w:t>9</w:t>
            </w:r>
          </w:p>
        </w:tc>
        <w:tc>
          <w:tcPr>
            <w:tcW w:type="dxa" w:w="3249"/>
          </w:tcPr>
          <w:p>
            <w:r/>
            <w:r>
              <w:rPr>
                <w:rFonts w:ascii="Calibri" w:hAnsi="Calibri"/>
                <w:b w:val="0"/>
                <w:sz w:val="18"/>
              </w:rPr>
              <w:t>auxflow.analysis.taint</w:t>
            </w:r>
          </w:p>
        </w:tc>
        <w:tc>
          <w:tcPr>
            <w:tcW w:type="dxa" w:w="3249"/>
          </w:tcPr>
          <w:p>
            <w:r/>
            <w:r>
              <w:rPr>
                <w:rFonts w:ascii="Calibri" w:hAnsi="Calibri"/>
                <w:b w:val="0"/>
                <w:sz w:val="18"/>
              </w:rPr>
              <w:t>Seeds from values read in loop bounds and conditions, worklist propagation, STRUCTURAL edges to CONTENT_VOLUME</w:t>
            </w:r>
          </w:p>
        </w:tc>
      </w:tr>
      <w:tr>
        <w:tc>
          <w:tcPr>
            <w:tcW w:type="dxa" w:w="3249"/>
          </w:tcPr>
          <w:p>
            <w:r/>
            <w:r>
              <w:rPr>
                <w:rFonts w:ascii="Calibri" w:hAnsi="Calibri"/>
                <w:b w:val="0"/>
                <w:sz w:val="18"/>
              </w:rPr>
              <w:t>10</w:t>
            </w:r>
          </w:p>
        </w:tc>
        <w:tc>
          <w:tcPr>
            <w:tcW w:type="dxa" w:w="3249"/>
          </w:tcPr>
          <w:p>
            <w:r/>
            <w:r>
              <w:rPr>
                <w:rFonts w:ascii="Calibri" w:hAnsi="Calibri"/>
                <w:b w:val="0"/>
                <w:sz w:val="18"/>
              </w:rPr>
              <w:t>auxflow.analysis.stable_pass</w:t>
            </w:r>
          </w:p>
        </w:tc>
        <w:tc>
          <w:tcPr>
            <w:tcW w:type="dxa" w:w="3249"/>
          </w:tcPr>
          <w:p>
            <w:r/>
            <w:r>
              <w:rPr>
                <w:rFonts w:ascii="Calibri" w:hAnsi="Calibri"/>
                <w:b w:val="0"/>
                <w:sz w:val="18"/>
              </w:rPr>
              <w:t>Stable-pass number P per fact on the condensation, predicted runs P + 1</w:t>
            </w:r>
          </w:p>
        </w:tc>
      </w:tr>
      <w:tr>
        <w:tc>
          <w:tcPr>
            <w:tcW w:type="dxa" w:w="3249"/>
          </w:tcPr>
          <w:p>
            <w:r/>
            <w:r>
              <w:rPr>
                <w:rFonts w:ascii="Calibri" w:hAnsi="Calibri"/>
                <w:b w:val="0"/>
                <w:sz w:val="18"/>
              </w:rPr>
              <w:t>11</w:t>
            </w:r>
          </w:p>
        </w:tc>
        <w:tc>
          <w:tcPr>
            <w:tcW w:type="dxa" w:w="3249"/>
          </w:tcPr>
          <w:p>
            <w:r/>
            <w:r>
              <w:rPr>
                <w:rFonts w:ascii="Calibri" w:hAnsi="Calibri"/>
                <w:b w:val="0"/>
                <w:sz w:val="18"/>
              </w:rPr>
              <w:t>auxflow.analysis.classify</w:t>
            </w:r>
          </w:p>
        </w:tc>
        <w:tc>
          <w:tcPr>
            <w:tcW w:type="dxa" w:w="3249"/>
          </w:tcPr>
          <w:p>
            <w:r/>
            <w:r>
              <w:rPr>
                <w:rFonts w:ascii="Calibri" w:hAnsi="Calibri"/>
                <w:b w:val="0"/>
                <w:sz w:val="18"/>
              </w:rPr>
              <w:t>Four-state classifier and source-located diagnostics, auxflow classify</w:t>
            </w:r>
          </w:p>
        </w:tc>
      </w:tr>
      <w:tr>
        <w:tc>
          <w:tcPr>
            <w:tcW w:type="dxa" w:w="3249"/>
          </w:tcPr>
          <w:p>
            <w:r/>
            <w:r>
              <w:rPr>
                <w:rFonts w:ascii="Calibri" w:hAnsi="Calibri"/>
                <w:b w:val="0"/>
                <w:sz w:val="18"/>
              </w:rPr>
              <w:t>12</w:t>
            </w:r>
          </w:p>
        </w:tc>
        <w:tc>
          <w:tcPr>
            <w:tcW w:type="dxa" w:w="3249"/>
          </w:tcPr>
          <w:p>
            <w:r/>
            <w:r>
              <w:rPr>
                <w:rFonts w:ascii="Calibri" w:hAnsi="Calibri"/>
                <w:b w:val="0"/>
                <w:sz w:val="18"/>
              </w:rPr>
              <w:t>auxflow.planner</w:t>
            </w:r>
          </w:p>
        </w:tc>
        <w:tc>
          <w:tcPr>
            <w:tcW w:type="dxa" w:w="3249"/>
          </w:tcPr>
          <w:p>
            <w:r/>
            <w:r>
              <w:rPr>
                <w:rFonts w:ascii="Calibri" w:hAnsi="Calibri"/>
                <w:b w:val="0"/>
                <w:sz w:val="18"/>
              </w:rPr>
              <w:t>Build plan: reachable files only, bibtex only with citations and a bibliography, derived run count, refusal of AMPLIFYING</w:t>
            </w:r>
          </w:p>
        </w:tc>
      </w:tr>
      <w:tr>
        <w:tc>
          <w:tcPr>
            <w:tcW w:type="dxa" w:w="3249"/>
          </w:tcPr>
          <w:p>
            <w:r/>
            <w:r>
              <w:rPr>
                <w:rFonts w:ascii="Calibri" w:hAnsi="Calibri"/>
                <w:b w:val="0"/>
                <w:sz w:val="18"/>
              </w:rPr>
              <w:t>13</w:t>
            </w:r>
          </w:p>
        </w:tc>
        <w:tc>
          <w:tcPr>
            <w:tcW w:type="dxa" w:w="3249"/>
          </w:tcPr>
          <w:p>
            <w:r/>
            <w:r>
              <w:rPr>
                <w:rFonts w:ascii="Calibri" w:hAnsi="Calibri"/>
                <w:b w:val="0"/>
                <w:sz w:val="18"/>
              </w:rPr>
              <w:t>auxflow.runtime</w:t>
            </w:r>
          </w:p>
        </w:tc>
        <w:tc>
          <w:tcPr>
            <w:tcW w:type="dxa" w:w="3249"/>
          </w:tcPr>
          <w:p>
            <w:r/>
            <w:r>
              <w:rPr>
                <w:rFonts w:ascii="Calibri" w:hAnsi="Calibri"/>
                <w:b w:val="0"/>
                <w:sz w:val="18"/>
              </w:rPr>
              <w:t>Normalised auxiliary records, fixpoint check, prediction-miss records, auxflow run</w:t>
            </w:r>
          </w:p>
        </w:tc>
      </w:tr>
      <w:tr>
        <w:tc>
          <w:tcPr>
            <w:tcW w:type="dxa" w:w="3249"/>
          </w:tcPr>
          <w:p>
            <w:r/>
            <w:r>
              <w:rPr>
                <w:rFonts w:ascii="Calibri" w:hAnsi="Calibri"/>
                <w:b w:val="0"/>
                <w:sz w:val="18"/>
              </w:rPr>
              <w:t>14 to 16</w:t>
            </w:r>
          </w:p>
        </w:tc>
        <w:tc>
          <w:tcPr>
            <w:tcW w:type="dxa" w:w="3249"/>
          </w:tcPr>
          <w:p>
            <w:r/>
            <w:r>
              <w:rPr>
                <w:rFonts w:ascii="Calibri" w:hAnsi="Calibri"/>
                <w:b w:val="0"/>
                <w:sz w:val="18"/>
              </w:rPr>
              <w:t>bench/</w:t>
            </w:r>
          </w:p>
        </w:tc>
        <w:tc>
          <w:tcPr>
            <w:tcW w:type="dxa" w:w="3249"/>
          </w:tcPr>
          <w:p>
            <w:r/>
            <w:r>
              <w:rPr>
                <w:rFonts w:ascii="Calibri" w:hAnsi="Calibri"/>
                <w:b w:val="0"/>
                <w:sz w:val="18"/>
              </w:rPr>
              <w:t>15-document corpus, 7 baselines, ground truth, 1,050 containerised runs, evaluation report</w:t>
            </w:r>
          </w:p>
        </w:tc>
      </w:tr>
    </w:tbl>
    <w:p/>
    <w:p>
      <w:pPr>
        <w:keepNext/>
        <w:spacing w:after="160"/>
      </w:pPr>
      <w:r>
        <w:rPr>
          <w:rFonts w:ascii="Calibri" w:hAnsi="Calibri"/>
          <w:b/>
          <w:sz w:val="22"/>
        </w:rPr>
        <w:t>Build planner safety rule:</w:t>
      </w:r>
    </w:p>
    <w:p>
      <w:pPr>
        <w:spacing w:after="160"/>
      </w:pPr>
      <w:r>
        <w:rPr>
          <w:rFonts w:ascii="Calibri" w:hAnsi="Calibri"/>
          <w:b w:val="0"/>
          <w:sz w:val="22"/>
        </w:rPr>
        <w:t>Only a CERTIFIED plan uses the derived run count. Every other executable state uses at least three engine runs, and an assertion in the planner enforces this. An AMPLIFYING document gets no plan unless the user passes --force, which runs it under a cap of six runs.</w:t>
      </w:r>
    </w:p>
    <w:p>
      <w:pPr>
        <w:keepNext/>
        <w:spacing w:after="160"/>
      </w:pPr>
      <w:r>
        <w:rPr>
          <w:rFonts w:ascii="Calibri" w:hAnsi="Calibri"/>
          <w:b/>
          <w:sz w:val="22"/>
        </w:rPr>
        <w:t>Runtime verification:</w:t>
      </w:r>
    </w:p>
    <w:p>
      <w:pPr>
        <w:spacing w:after="160"/>
      </w:pPr>
      <w:r>
        <w:rPr>
          <w:rFonts w:ascii="Calibri" w:hAnsi="Calibri"/>
          <w:b w:val="0"/>
          <w:sz w:val="22"/>
        </w:rPr>
        <w:t>The verifier normalises each auxiliary file into an order-independent set of records and compares the state after run k with the state after run k-1. Rerun warnings miss changes in generated lists, so the verifier does not use them. When a certified document needs more runs than predicted, the verifier records a prediction miss.</w:t>
      </w:r>
    </w:p>
    <w:p>
      <w:pPr>
        <w:keepNext/>
        <w:spacing w:after="160"/>
      </w:pPr>
      <w:r>
        <w:rPr>
          <w:rFonts w:ascii="Calibri" w:hAnsi="Calibri"/>
          <w:b/>
          <w:sz w:val="22"/>
        </w:rPr>
        <w:t>Code and quality figures:</w:t>
      </w:r>
    </w:p>
    <w:p>
      <w:pPr>
        <w:pStyle w:val="ListBullet"/>
        <w:spacing w:after="80"/>
      </w:pPr>
      <w:r>
        <w:rPr>
          <w:rFonts w:ascii="Calibri" w:hAnsi="Calibri"/>
          <w:sz w:val="22"/>
        </w:rPr>
        <w:t>About 3,930 lines of implementation code in 41 modules, and about 4,080 lines of test code in 46 files. No third-party runtime dependencies.</w:t>
      </w:r>
    </w:p>
    <w:p>
      <w:pPr>
        <w:pStyle w:val="ListBullet"/>
        <w:spacing w:after="80"/>
      </w:pPr>
      <w:r>
        <w:rPr>
          <w:rFonts w:ascii="Calibri" w:hAnsi="Calibri"/>
          <w:sz w:val="22"/>
        </w:rPr>
        <w:t>245 tests pass and 1 is skipped. mypy --strict reports no issues in 41 source files. ruff reports no lint issues in src, tests, and bench.</w:t>
      </w:r>
    </w:p>
    <w:p>
      <w:pPr>
        <w:jc w:val="center"/>
      </w:pPr>
      <w:r>
        <w:drawing>
          <wp:inline xmlns:a="http://schemas.openxmlformats.org/drawingml/2006/main" xmlns:pic="http://schemas.openxmlformats.org/drawingml/2006/picture">
            <wp:extent cx="5580000" cy="1525959"/>
            <wp:docPr id="2" name="Picture 2"/>
            <wp:cNvGraphicFramePr>
              <a:graphicFrameLocks noChangeAspect="1"/>
            </wp:cNvGraphicFramePr>
            <a:graphic>
              <a:graphicData uri="http://schemas.openxmlformats.org/drawingml/2006/picture">
                <pic:pic>
                  <pic:nvPicPr>
                    <pic:cNvPr id="0" name="06-classify-certified.png"/>
                    <pic:cNvPicPr/>
                  </pic:nvPicPr>
                  <pic:blipFill>
                    <a:blip r:embed="rId10"/>
                    <a:stretch>
                      <a:fillRect/>
                    </a:stretch>
                  </pic:blipFill>
                  <pic:spPr>
                    <a:xfrm>
                      <a:off x="0" y="0"/>
                      <a:ext cx="5580000" cy="1525959"/>
                    </a:xfrm>
                    <a:prstGeom prst="rect"/>
                  </pic:spPr>
                </pic:pic>
              </a:graphicData>
            </a:graphic>
          </wp:inline>
        </w:drawing>
      </w:r>
    </w:p>
    <w:p>
      <w:pPr>
        <w:spacing w:after="200"/>
        <w:jc w:val="center"/>
      </w:pPr>
      <w:r>
        <w:rPr>
          <w:i/>
          <w:color w:val="5A5A5A"/>
          <w:sz w:val="20"/>
        </w:rPr>
        <w:t>auxflow classify on a CERTIFIED document</w:t>
      </w:r>
    </w:p>
    <w:p>
      <w:pPr>
        <w:jc w:val="center"/>
      </w:pPr>
      <w:r>
        <w:drawing>
          <wp:inline xmlns:a="http://schemas.openxmlformats.org/drawingml/2006/main" xmlns:pic="http://schemas.openxmlformats.org/drawingml/2006/picture">
            <wp:extent cx="5580000" cy="1901755"/>
            <wp:docPr id="3" name="Picture 3"/>
            <wp:cNvGraphicFramePr>
              <a:graphicFrameLocks noChangeAspect="1"/>
            </wp:cNvGraphicFramePr>
            <a:graphic>
              <a:graphicData uri="http://schemas.openxmlformats.org/drawingml/2006/picture">
                <pic:pic>
                  <pic:nvPicPr>
                    <pic:cNvPr id="0" name="07-classify-amplifying.png"/>
                    <pic:cNvPicPr/>
                  </pic:nvPicPr>
                  <pic:blipFill>
                    <a:blip r:embed="rId11"/>
                    <a:stretch>
                      <a:fillRect/>
                    </a:stretch>
                  </pic:blipFill>
                  <pic:spPr>
                    <a:xfrm>
                      <a:off x="0" y="0"/>
                      <a:ext cx="5580000" cy="1901755"/>
                    </a:xfrm>
                    <a:prstGeom prst="rect"/>
                  </pic:spPr>
                </pic:pic>
              </a:graphicData>
            </a:graphic>
          </wp:inline>
        </w:drawing>
      </w:r>
    </w:p>
    <w:p>
      <w:pPr>
        <w:spacing w:after="200"/>
        <w:jc w:val="center"/>
      </w:pPr>
      <w:r>
        <w:rPr>
          <w:i/>
          <w:color w:val="5A5A5A"/>
          <w:sz w:val="20"/>
        </w:rPr>
        <w:t>auxflow classify on an AMPLIFYING document: no plan</w:t>
      </w:r>
    </w:p>
    <w:p>
      <w:pPr>
        <w:jc w:val="center"/>
      </w:pPr>
      <w:r>
        <w:drawing>
          <wp:inline xmlns:a="http://schemas.openxmlformats.org/drawingml/2006/main" xmlns:pic="http://schemas.openxmlformats.org/drawingml/2006/picture">
            <wp:extent cx="5580000" cy="1400694"/>
            <wp:docPr id="4" name="Picture 4"/>
            <wp:cNvGraphicFramePr>
              <a:graphicFrameLocks noChangeAspect="1"/>
            </wp:cNvGraphicFramePr>
            <a:graphic>
              <a:graphicData uri="http://schemas.openxmlformats.org/drawingml/2006/picture">
                <pic:pic>
                  <pic:nvPicPr>
                    <pic:cNvPr id="0" name="08-verification.png"/>
                    <pic:cNvPicPr/>
                  </pic:nvPicPr>
                  <pic:blipFill>
                    <a:blip r:embed="rId12"/>
                    <a:stretch>
                      <a:fillRect/>
                    </a:stretch>
                  </pic:blipFill>
                  <pic:spPr>
                    <a:xfrm>
                      <a:off x="0" y="0"/>
                      <a:ext cx="5580000" cy="1400694"/>
                    </a:xfrm>
                    <a:prstGeom prst="rect"/>
                  </pic:spPr>
                </pic:pic>
              </a:graphicData>
            </a:graphic>
          </wp:inline>
        </w:drawing>
      </w:r>
    </w:p>
    <w:p>
      <w:pPr>
        <w:spacing w:after="200"/>
        <w:jc w:val="center"/>
      </w:pPr>
      <w:r>
        <w:rPr>
          <w:i/>
          <w:color w:val="5A5A5A"/>
          <w:sz w:val="20"/>
        </w:rPr>
        <w:t>Test suite, strict type check, and lint</w:t>
      </w:r>
    </w:p>
    <w:p>
      <w:pPr>
        <w:spacing w:before="360" w:after="120"/>
        <w:pBdr>
          <w:bottom w:val="single" w:sz="6" w:space="4" w:color="1B3A57"/>
        </w:pBdr>
      </w:pPr>
      <w:r>
        <w:rPr>
          <w:rFonts w:ascii="Calibri" w:hAnsi="Calibri"/>
          <w:b/>
          <w:color w:val="0D1B2A"/>
          <w:sz w:val="32"/>
        </w:rPr>
        <w:t>4. Evaluation and Results</w:t>
      </w:r>
    </w:p>
    <w:p>
      <w:pPr>
        <w:keepNext/>
        <w:spacing w:after="160"/>
      </w:pPr>
      <w:r>
        <w:rPr>
          <w:rFonts w:ascii="Calibri" w:hAnsi="Calibri"/>
          <w:b/>
          <w:sz w:val="22"/>
        </w:rPr>
        <w:t>Setup:</w:t>
      </w:r>
    </w:p>
    <w:p>
      <w:pPr>
        <w:spacing w:after="160"/>
      </w:pPr>
      <w:r>
        <w:rPr>
          <w:rFonts w:ascii="Calibri" w:hAnsi="Calibri"/>
          <w:b w:val="0"/>
          <w:sz w:val="22"/>
        </w:rPr>
        <w:t>15 benchmark documents (b01_plain to b15_ibid) cover the non-convergence mechanisms M1 to M9, including a realistic multi-chapter thesis. Seven baselines were measured: A (fixed three runs), B (rerun warnings), C (checksum), C' (inputs), C'' (read/write set), D (AuxFlow static), and E (AuxFlow static plus runtime verification). Each document and baseline ran ten times in a pinned Docker image with one CPU and no network: 1,050 runs in total. Ground truth N* comes from eight unconditional engine passes, independent of every baseline.</w:t>
      </w:r>
    </w:p>
    <w:p>
      <w:pPr>
        <w:keepNext/>
        <w:spacing w:after="160"/>
      </w:pPr>
      <w:r>
        <w:rPr>
          <w:rFonts w:ascii="Calibri" w:hAnsi="Calibri"/>
          <w:b/>
          <w:sz w:val="22"/>
        </w:rPr>
        <w:t>Gate 1, classification separation: PASS</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color="auto" w:fill="E6EDF3"/>
          </w:tcPr>
          <w:p>
            <w:r/>
            <w:r>
              <w:rPr>
                <w:rFonts w:ascii="Calibri" w:hAnsi="Calibri"/>
                <w:b/>
                <w:sz w:val="18"/>
              </w:rPr>
              <w:t>Document</w:t>
            </w:r>
          </w:p>
        </w:tc>
        <w:tc>
          <w:tcPr>
            <w:tcW w:type="dxa" w:w="3249"/>
            <w:shd w:val="clear" w:color="auto" w:fill="E6EDF3"/>
          </w:tcPr>
          <w:p>
            <w:r/>
            <w:r>
              <w:rPr>
                <w:rFonts w:ascii="Calibri" w:hAnsi="Calibri"/>
                <w:b/>
                <w:sz w:val="18"/>
              </w:rPr>
              <w:t>Expected</w:t>
            </w:r>
          </w:p>
        </w:tc>
        <w:tc>
          <w:tcPr>
            <w:tcW w:type="dxa" w:w="3249"/>
            <w:shd w:val="clear" w:color="auto" w:fill="E6EDF3"/>
          </w:tcPr>
          <w:p>
            <w:r/>
            <w:r>
              <w:rPr>
                <w:rFonts w:ascii="Calibri" w:hAnsi="Calibri"/>
                <w:b/>
                <w:sz w:val="18"/>
              </w:rPr>
              <w:t>Observed</w:t>
            </w:r>
          </w:p>
        </w:tc>
      </w:tr>
      <w:tr>
        <w:tc>
          <w:tcPr>
            <w:tcW w:type="dxa" w:w="3249"/>
          </w:tcPr>
          <w:p>
            <w:r/>
            <w:r>
              <w:rPr>
                <w:rFonts w:ascii="Calibri" w:hAnsi="Calibri"/>
                <w:b w:val="0"/>
                <w:sz w:val="18"/>
              </w:rPr>
              <w:t>b08_cycle</w:t>
            </w:r>
          </w:p>
        </w:tc>
        <w:tc>
          <w:tcPr>
            <w:tcW w:type="dxa" w:w="3249"/>
          </w:tcPr>
          <w:p>
            <w:r/>
            <w:r>
              <w:rPr>
                <w:rFonts w:ascii="Calibri" w:hAnsi="Calibri"/>
                <w:b w:val="0"/>
                <w:sz w:val="18"/>
              </w:rPr>
              <w:t>AMPLIFYING</w:t>
            </w:r>
          </w:p>
        </w:tc>
        <w:tc>
          <w:tcPr>
            <w:tcW w:type="dxa" w:w="3249"/>
          </w:tcPr>
          <w:p>
            <w:r/>
            <w:r>
              <w:rPr>
                <w:rFonts w:ascii="Calibri" w:hAnsi="Calibri"/>
                <w:b w:val="0"/>
                <w:sz w:val="18"/>
              </w:rPr>
              <w:t>AMPLIFYING</w:t>
            </w:r>
          </w:p>
        </w:tc>
      </w:tr>
      <w:tr>
        <w:tc>
          <w:tcPr>
            <w:tcW w:type="dxa" w:w="3249"/>
          </w:tcPr>
          <w:p>
            <w:r/>
            <w:r>
              <w:rPr>
                <w:rFonts w:ascii="Calibri" w:hAnsi="Calibri"/>
                <w:b w:val="0"/>
                <w:sz w:val="18"/>
              </w:rPr>
              <w:t>b05_toc</w:t>
            </w:r>
          </w:p>
        </w:tc>
        <w:tc>
          <w:tcPr>
            <w:tcW w:type="dxa" w:w="3249"/>
          </w:tcPr>
          <w:p>
            <w:r/>
            <w:r>
              <w:rPr>
                <w:rFonts w:ascii="Calibri" w:hAnsi="Calibri"/>
                <w:b w:val="0"/>
                <w:sz w:val="18"/>
              </w:rPr>
              <w:t>not AMPLIFYING</w:t>
            </w:r>
          </w:p>
        </w:tc>
        <w:tc>
          <w:tcPr>
            <w:tcW w:type="dxa" w:w="3249"/>
          </w:tcPr>
          <w:p>
            <w:r/>
            <w:r>
              <w:rPr>
                <w:rFonts w:ascii="Calibri" w:hAnsi="Calibri"/>
                <w:b w:val="0"/>
                <w:sz w:val="18"/>
              </w:rPr>
              <w:t>CERTIFIED</w:t>
            </w:r>
          </w:p>
        </w:tc>
      </w:tr>
      <w:tr>
        <w:tc>
          <w:tcPr>
            <w:tcW w:type="dxa" w:w="3249"/>
          </w:tcPr>
          <w:p>
            <w:r/>
            <w:r>
              <w:rPr>
                <w:rFonts w:ascii="Calibri" w:hAnsi="Calibri"/>
                <w:b w:val="0"/>
                <w:sz w:val="18"/>
              </w:rPr>
              <w:t>b11_width, b12_float, b13_varioref</w:t>
            </w:r>
          </w:p>
        </w:tc>
        <w:tc>
          <w:tcPr>
            <w:tcW w:type="dxa" w:w="3249"/>
          </w:tcPr>
          <w:p>
            <w:r/>
            <w:r>
              <w:rPr>
                <w:rFonts w:ascii="Calibri" w:hAnsi="Calibri"/>
                <w:b w:val="0"/>
                <w:sz w:val="18"/>
              </w:rPr>
              <w:t>CERTIFIED (declared false negative)</w:t>
            </w:r>
          </w:p>
        </w:tc>
        <w:tc>
          <w:tcPr>
            <w:tcW w:type="dxa" w:w="3249"/>
          </w:tcPr>
          <w:p>
            <w:r/>
            <w:r>
              <w:rPr>
                <w:rFonts w:ascii="Calibri" w:hAnsi="Calibri"/>
                <w:b w:val="0"/>
                <w:sz w:val="18"/>
              </w:rPr>
              <w:t>CERTIFIED</w:t>
            </w:r>
          </w:p>
        </w:tc>
      </w:tr>
      <w:tr>
        <w:tc>
          <w:tcPr>
            <w:tcW w:type="dxa" w:w="3249"/>
          </w:tcPr>
          <w:p>
            <w:r/>
            <w:r>
              <w:rPr>
                <w:rFonts w:ascii="Calibri" w:hAnsi="Calibri"/>
                <w:b w:val="0"/>
                <w:sz w:val="18"/>
              </w:rPr>
              <w:t>b07_footnote, b15_ibid</w:t>
            </w:r>
          </w:p>
        </w:tc>
        <w:tc>
          <w:tcPr>
            <w:tcW w:type="dxa" w:w="3249"/>
          </w:tcPr>
          <w:p>
            <w:r/>
            <w:r>
              <w:rPr>
                <w:rFonts w:ascii="Calibri" w:hAnsi="Calibri"/>
                <w:b w:val="0"/>
                <w:sz w:val="18"/>
              </w:rPr>
              <w:t>UNKNOWN</w:t>
            </w:r>
          </w:p>
        </w:tc>
        <w:tc>
          <w:tcPr>
            <w:tcW w:type="dxa" w:w="3249"/>
          </w:tcPr>
          <w:p>
            <w:r/>
            <w:r>
              <w:rPr>
                <w:rFonts w:ascii="Calibri" w:hAnsi="Calibri"/>
                <w:b w:val="0"/>
                <w:sz w:val="18"/>
              </w:rPr>
              <w:t>UNKNOWN</w:t>
            </w:r>
          </w:p>
        </w:tc>
      </w:tr>
    </w:tbl>
    <w:p/>
    <w:p>
      <w:pPr>
        <w:spacing w:after="160"/>
      </w:pPr>
      <w:r>
        <w:rPr>
          <w:rFonts w:ascii="Calibri" w:hAnsi="Calibri"/>
          <w:b w:val="0"/>
          <w:sz w:val="22"/>
        </w:rPr>
        <w:t>All 15 documents classified exactly as expected.json predicted before implementation.</w:t>
      </w:r>
    </w:p>
    <w:p>
      <w:pPr>
        <w:keepNext/>
        <w:spacing w:after="160"/>
      </w:pPr>
      <w:r>
        <w:rPr>
          <w:rFonts w:ascii="Calibri" w:hAnsi="Calibri"/>
          <w:b/>
          <w:sz w:val="22"/>
        </w:rPr>
        <w:t>Gate 2, run-count bound (EC1): PASS</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color="auto" w:fill="E6EDF3"/>
          </w:tcPr>
          <w:p>
            <w:r/>
            <w:r>
              <w:rPr>
                <w:rFonts w:ascii="Calibri" w:hAnsi="Calibri"/>
                <w:b/>
                <w:sz w:val="18"/>
              </w:rPr>
              <w:t>Document</w:t>
            </w:r>
          </w:p>
        </w:tc>
        <w:tc>
          <w:tcPr>
            <w:tcW w:type="dxa" w:w="2436"/>
            <w:shd w:val="clear" w:color="auto" w:fill="E6EDF3"/>
          </w:tcPr>
          <w:p>
            <w:r/>
            <w:r>
              <w:rPr>
                <w:rFonts w:ascii="Calibri" w:hAnsi="Calibri"/>
                <w:b/>
                <w:sz w:val="18"/>
              </w:rPr>
              <w:t>Predicted N</w:t>
            </w:r>
          </w:p>
        </w:tc>
        <w:tc>
          <w:tcPr>
            <w:tcW w:type="dxa" w:w="2436"/>
            <w:shd w:val="clear" w:color="auto" w:fill="E6EDF3"/>
          </w:tcPr>
          <w:p>
            <w:r/>
            <w:r>
              <w:rPr>
                <w:rFonts w:ascii="Calibri" w:hAnsi="Calibri"/>
                <w:b/>
                <w:sz w:val="18"/>
              </w:rPr>
              <w:t>Ground truth N*</w:t>
            </w:r>
          </w:p>
        </w:tc>
        <w:tc>
          <w:tcPr>
            <w:tcW w:type="dxa" w:w="2436"/>
            <w:shd w:val="clear" w:color="auto" w:fill="E6EDF3"/>
          </w:tcPr>
          <w:p>
            <w:r/>
            <w:r>
              <w:rPr>
                <w:rFonts w:ascii="Calibri" w:hAnsi="Calibri"/>
                <w:b/>
                <w:sz w:val="18"/>
              </w:rPr>
              <w:t>N &gt;= N*</w:t>
            </w:r>
          </w:p>
        </w:tc>
      </w:tr>
      <w:tr>
        <w:tc>
          <w:tcPr>
            <w:tcW w:type="dxa" w:w="2436"/>
          </w:tcPr>
          <w:p>
            <w:r/>
            <w:r>
              <w:rPr>
                <w:rFonts w:ascii="Calibri" w:hAnsi="Calibri"/>
                <w:b w:val="0"/>
                <w:sz w:val="18"/>
              </w:rPr>
              <w:t>b01_plain</w:t>
            </w:r>
          </w:p>
        </w:tc>
        <w:tc>
          <w:tcPr>
            <w:tcW w:type="dxa" w:w="2436"/>
          </w:tcPr>
          <w:p>
            <w:r/>
            <w:r>
              <w:rPr>
                <w:rFonts w:ascii="Calibri" w:hAnsi="Calibri"/>
                <w:b w:val="0"/>
                <w:sz w:val="18"/>
              </w:rPr>
              <w:t>1</w:t>
            </w:r>
          </w:p>
        </w:tc>
        <w:tc>
          <w:tcPr>
            <w:tcW w:type="dxa" w:w="2436"/>
          </w:tcPr>
          <w:p>
            <w:r/>
            <w:r>
              <w:rPr>
                <w:rFonts w:ascii="Calibri" w:hAnsi="Calibri"/>
                <w:b w:val="0"/>
                <w:sz w:val="18"/>
              </w:rPr>
              <w:t>1</w:t>
            </w:r>
          </w:p>
        </w:tc>
        <w:tc>
          <w:tcPr>
            <w:tcW w:type="dxa" w:w="2436"/>
          </w:tcPr>
          <w:p>
            <w:r/>
            <w:r>
              <w:rPr>
                <w:rFonts w:ascii="Calibri" w:hAnsi="Calibri"/>
                <w:b w:val="0"/>
                <w:sz w:val="18"/>
              </w:rPr>
              <w:t>yes</w:t>
            </w:r>
          </w:p>
        </w:tc>
      </w:tr>
      <w:tr>
        <w:tc>
          <w:tcPr>
            <w:tcW w:type="dxa" w:w="2436"/>
          </w:tcPr>
          <w:p>
            <w:r/>
            <w:r>
              <w:rPr>
                <w:rFonts w:ascii="Calibri" w:hAnsi="Calibri"/>
                <w:b w:val="0"/>
                <w:sz w:val="18"/>
              </w:rPr>
              <w:t>b02_backref</w:t>
            </w:r>
          </w:p>
        </w:tc>
        <w:tc>
          <w:tcPr>
            <w:tcW w:type="dxa" w:w="2436"/>
          </w:tcPr>
          <w:p>
            <w:r/>
            <w:r>
              <w:rPr>
                <w:rFonts w:ascii="Calibri" w:hAnsi="Calibri"/>
                <w:b w:val="0"/>
                <w:sz w:val="18"/>
              </w:rPr>
              <w:t>2</w:t>
            </w:r>
          </w:p>
        </w:tc>
        <w:tc>
          <w:tcPr>
            <w:tcW w:type="dxa" w:w="2436"/>
          </w:tcPr>
          <w:p>
            <w:r/>
            <w:r>
              <w:rPr>
                <w:rFonts w:ascii="Calibri" w:hAnsi="Calibri"/>
                <w:b w:val="0"/>
                <w:sz w:val="18"/>
              </w:rPr>
              <w:t>2</w:t>
            </w:r>
          </w:p>
        </w:tc>
        <w:tc>
          <w:tcPr>
            <w:tcW w:type="dxa" w:w="2436"/>
          </w:tcPr>
          <w:p>
            <w:r/>
            <w:r>
              <w:rPr>
                <w:rFonts w:ascii="Calibri" w:hAnsi="Calibri"/>
                <w:b w:val="0"/>
                <w:sz w:val="18"/>
              </w:rPr>
              <w:t>yes</w:t>
            </w:r>
          </w:p>
        </w:tc>
      </w:tr>
      <w:tr>
        <w:tc>
          <w:tcPr>
            <w:tcW w:type="dxa" w:w="2436"/>
          </w:tcPr>
          <w:p>
            <w:r/>
            <w:r>
              <w:rPr>
                <w:rFonts w:ascii="Calibri" w:hAnsi="Calibri"/>
                <w:b w:val="0"/>
                <w:sz w:val="18"/>
              </w:rPr>
              <w:t>b03_fwdref</w:t>
            </w:r>
          </w:p>
        </w:tc>
        <w:tc>
          <w:tcPr>
            <w:tcW w:type="dxa" w:w="2436"/>
          </w:tcPr>
          <w:p>
            <w:r/>
            <w:r>
              <w:rPr>
                <w:rFonts w:ascii="Calibri" w:hAnsi="Calibri"/>
                <w:b w:val="0"/>
                <w:sz w:val="18"/>
              </w:rPr>
              <w:t>2</w:t>
            </w:r>
          </w:p>
        </w:tc>
        <w:tc>
          <w:tcPr>
            <w:tcW w:type="dxa" w:w="2436"/>
          </w:tcPr>
          <w:p>
            <w:r/>
            <w:r>
              <w:rPr>
                <w:rFonts w:ascii="Calibri" w:hAnsi="Calibri"/>
                <w:b w:val="0"/>
                <w:sz w:val="18"/>
              </w:rPr>
              <w:t>2</w:t>
            </w:r>
          </w:p>
        </w:tc>
        <w:tc>
          <w:tcPr>
            <w:tcW w:type="dxa" w:w="2436"/>
          </w:tcPr>
          <w:p>
            <w:r/>
            <w:r>
              <w:rPr>
                <w:rFonts w:ascii="Calibri" w:hAnsi="Calibri"/>
                <w:b w:val="0"/>
                <w:sz w:val="18"/>
              </w:rPr>
              <w:t>yes</w:t>
            </w:r>
          </w:p>
        </w:tc>
      </w:tr>
      <w:tr>
        <w:tc>
          <w:tcPr>
            <w:tcW w:type="dxa" w:w="2436"/>
          </w:tcPr>
          <w:p>
            <w:r/>
            <w:r>
              <w:rPr>
                <w:rFonts w:ascii="Calibri" w:hAnsi="Calibri"/>
                <w:b w:val="0"/>
                <w:sz w:val="18"/>
              </w:rPr>
              <w:t>b04_chain</w:t>
            </w:r>
          </w:p>
        </w:tc>
        <w:tc>
          <w:tcPr>
            <w:tcW w:type="dxa" w:w="2436"/>
          </w:tcPr>
          <w:p>
            <w:r/>
            <w:r>
              <w:rPr>
                <w:rFonts w:ascii="Calibri" w:hAnsi="Calibri"/>
                <w:b w:val="0"/>
                <w:sz w:val="18"/>
              </w:rPr>
              <w:t>3</w:t>
            </w:r>
          </w:p>
        </w:tc>
        <w:tc>
          <w:tcPr>
            <w:tcW w:type="dxa" w:w="2436"/>
          </w:tcPr>
          <w:p>
            <w:r/>
            <w:r>
              <w:rPr>
                <w:rFonts w:ascii="Calibri" w:hAnsi="Calibri"/>
                <w:b w:val="0"/>
                <w:sz w:val="18"/>
              </w:rPr>
              <w:t>2</w:t>
            </w:r>
          </w:p>
        </w:tc>
        <w:tc>
          <w:tcPr>
            <w:tcW w:type="dxa" w:w="2436"/>
          </w:tcPr>
          <w:p>
            <w:r/>
            <w:r>
              <w:rPr>
                <w:rFonts w:ascii="Calibri" w:hAnsi="Calibri"/>
                <w:b w:val="0"/>
                <w:sz w:val="18"/>
              </w:rPr>
              <w:t>yes</w:t>
            </w:r>
          </w:p>
        </w:tc>
      </w:tr>
      <w:tr>
        <w:tc>
          <w:tcPr>
            <w:tcW w:type="dxa" w:w="2436"/>
          </w:tcPr>
          <w:p>
            <w:r/>
            <w:r>
              <w:rPr>
                <w:rFonts w:ascii="Calibri" w:hAnsi="Calibri"/>
                <w:b w:val="0"/>
                <w:sz w:val="18"/>
              </w:rPr>
              <w:t>b05_toc</w:t>
            </w:r>
          </w:p>
        </w:tc>
        <w:tc>
          <w:tcPr>
            <w:tcW w:type="dxa" w:w="2436"/>
          </w:tcPr>
          <w:p>
            <w:r/>
            <w:r>
              <w:rPr>
                <w:rFonts w:ascii="Calibri" w:hAnsi="Calibri"/>
                <w:b w:val="0"/>
                <w:sz w:val="18"/>
              </w:rPr>
              <w:t>3</w:t>
            </w:r>
          </w:p>
        </w:tc>
        <w:tc>
          <w:tcPr>
            <w:tcW w:type="dxa" w:w="2436"/>
          </w:tcPr>
          <w:p>
            <w:r/>
            <w:r>
              <w:rPr>
                <w:rFonts w:ascii="Calibri" w:hAnsi="Calibri"/>
                <w:b w:val="0"/>
                <w:sz w:val="18"/>
              </w:rPr>
              <w:t>3</w:t>
            </w:r>
          </w:p>
        </w:tc>
        <w:tc>
          <w:tcPr>
            <w:tcW w:type="dxa" w:w="2436"/>
          </w:tcPr>
          <w:p>
            <w:r/>
            <w:r>
              <w:rPr>
                <w:rFonts w:ascii="Calibri" w:hAnsi="Calibri"/>
                <w:b w:val="0"/>
                <w:sz w:val="18"/>
              </w:rPr>
              <w:t>yes</w:t>
            </w:r>
          </w:p>
        </w:tc>
      </w:tr>
      <w:tr>
        <w:tc>
          <w:tcPr>
            <w:tcW w:type="dxa" w:w="2436"/>
          </w:tcPr>
          <w:p>
            <w:r/>
            <w:r>
              <w:rPr>
                <w:rFonts w:ascii="Calibri" w:hAnsi="Calibri"/>
                <w:b w:val="0"/>
                <w:sz w:val="18"/>
              </w:rPr>
              <w:t>b06_bib</w:t>
            </w:r>
          </w:p>
        </w:tc>
        <w:tc>
          <w:tcPr>
            <w:tcW w:type="dxa" w:w="2436"/>
          </w:tcPr>
          <w:p>
            <w:r/>
            <w:r>
              <w:rPr>
                <w:rFonts w:ascii="Calibri" w:hAnsi="Calibri"/>
                <w:b w:val="0"/>
                <w:sz w:val="18"/>
              </w:rPr>
              <w:t>4</w:t>
            </w:r>
          </w:p>
        </w:tc>
        <w:tc>
          <w:tcPr>
            <w:tcW w:type="dxa" w:w="2436"/>
          </w:tcPr>
          <w:p>
            <w:r/>
            <w:r>
              <w:rPr>
                <w:rFonts w:ascii="Calibri" w:hAnsi="Calibri"/>
                <w:b w:val="0"/>
                <w:sz w:val="18"/>
              </w:rPr>
              <w:t>3</w:t>
            </w:r>
          </w:p>
        </w:tc>
        <w:tc>
          <w:tcPr>
            <w:tcW w:type="dxa" w:w="2436"/>
          </w:tcPr>
          <w:p>
            <w:r/>
            <w:r>
              <w:rPr>
                <w:rFonts w:ascii="Calibri" w:hAnsi="Calibri"/>
                <w:b w:val="0"/>
                <w:sz w:val="18"/>
              </w:rPr>
              <w:t>yes</w:t>
            </w:r>
          </w:p>
        </w:tc>
      </w:tr>
      <w:tr>
        <w:tc>
          <w:tcPr>
            <w:tcW w:type="dxa" w:w="2436"/>
          </w:tcPr>
          <w:p>
            <w:r/>
            <w:r>
              <w:rPr>
                <w:rFonts w:ascii="Calibri" w:hAnsi="Calibri"/>
                <w:b w:val="0"/>
                <w:sz w:val="18"/>
              </w:rPr>
              <w:t>b09_thesis</w:t>
            </w:r>
          </w:p>
        </w:tc>
        <w:tc>
          <w:tcPr>
            <w:tcW w:type="dxa" w:w="2436"/>
          </w:tcPr>
          <w:p>
            <w:r/>
            <w:r>
              <w:rPr>
                <w:rFonts w:ascii="Calibri" w:hAnsi="Calibri"/>
                <w:b w:val="0"/>
                <w:sz w:val="18"/>
              </w:rPr>
              <w:t>4</w:t>
            </w:r>
          </w:p>
        </w:tc>
        <w:tc>
          <w:tcPr>
            <w:tcW w:type="dxa" w:w="2436"/>
          </w:tcPr>
          <w:p>
            <w:r/>
            <w:r>
              <w:rPr>
                <w:rFonts w:ascii="Calibri" w:hAnsi="Calibri"/>
                <w:b w:val="0"/>
                <w:sz w:val="18"/>
              </w:rPr>
              <w:t>3</w:t>
            </w:r>
          </w:p>
        </w:tc>
        <w:tc>
          <w:tcPr>
            <w:tcW w:type="dxa" w:w="2436"/>
          </w:tcPr>
          <w:p>
            <w:r/>
            <w:r>
              <w:rPr>
                <w:rFonts w:ascii="Calibri" w:hAnsi="Calibri"/>
                <w:b w:val="0"/>
                <w:sz w:val="18"/>
              </w:rPr>
              <w:t>yes</w:t>
            </w:r>
          </w:p>
        </w:tc>
      </w:tr>
      <w:tr>
        <w:tc>
          <w:tcPr>
            <w:tcW w:type="dxa" w:w="2436"/>
          </w:tcPr>
          <w:p>
            <w:r/>
            <w:r>
              <w:rPr>
                <w:rFonts w:ascii="Calibri" w:hAnsi="Calibri"/>
                <w:b w:val="0"/>
                <w:sz w:val="18"/>
              </w:rPr>
              <w:t>b11_width</w:t>
            </w:r>
          </w:p>
        </w:tc>
        <w:tc>
          <w:tcPr>
            <w:tcW w:type="dxa" w:w="2436"/>
          </w:tcPr>
          <w:p>
            <w:r/>
            <w:r>
              <w:rPr>
                <w:rFonts w:ascii="Calibri" w:hAnsi="Calibri"/>
                <w:b w:val="0"/>
                <w:sz w:val="18"/>
              </w:rPr>
              <w:t>2</w:t>
            </w:r>
          </w:p>
        </w:tc>
        <w:tc>
          <w:tcPr>
            <w:tcW w:type="dxa" w:w="2436"/>
          </w:tcPr>
          <w:p>
            <w:r/>
            <w:r>
              <w:rPr>
                <w:rFonts w:ascii="Calibri" w:hAnsi="Calibri"/>
                <w:b w:val="0"/>
                <w:sz w:val="18"/>
              </w:rPr>
              <w:t>divergent(8)</w:t>
            </w:r>
          </w:p>
        </w:tc>
        <w:tc>
          <w:tcPr>
            <w:tcW w:type="dxa" w:w="2436"/>
          </w:tcPr>
          <w:p>
            <w:r/>
            <w:r>
              <w:rPr>
                <w:rFonts w:ascii="Calibri" w:hAnsi="Calibri"/>
                <w:b w:val="0"/>
                <w:sz w:val="18"/>
              </w:rPr>
              <w:t>no (declared)</w:t>
            </w:r>
          </w:p>
        </w:tc>
      </w:tr>
      <w:tr>
        <w:tc>
          <w:tcPr>
            <w:tcW w:type="dxa" w:w="2436"/>
          </w:tcPr>
          <w:p>
            <w:r/>
            <w:r>
              <w:rPr>
                <w:rFonts w:ascii="Calibri" w:hAnsi="Calibri"/>
                <w:b w:val="0"/>
                <w:sz w:val="18"/>
              </w:rPr>
              <w:t>b12_float</w:t>
            </w:r>
          </w:p>
        </w:tc>
        <w:tc>
          <w:tcPr>
            <w:tcW w:type="dxa" w:w="2436"/>
          </w:tcPr>
          <w:p>
            <w:r/>
            <w:r>
              <w:rPr>
                <w:rFonts w:ascii="Calibri" w:hAnsi="Calibri"/>
                <w:b w:val="0"/>
                <w:sz w:val="18"/>
              </w:rPr>
              <w:t>2</w:t>
            </w:r>
          </w:p>
        </w:tc>
        <w:tc>
          <w:tcPr>
            <w:tcW w:type="dxa" w:w="2436"/>
          </w:tcPr>
          <w:p>
            <w:r/>
            <w:r>
              <w:rPr>
                <w:rFonts w:ascii="Calibri" w:hAnsi="Calibri"/>
                <w:b w:val="0"/>
                <w:sz w:val="18"/>
              </w:rPr>
              <w:t>divergent(8)</w:t>
            </w:r>
          </w:p>
        </w:tc>
        <w:tc>
          <w:tcPr>
            <w:tcW w:type="dxa" w:w="2436"/>
          </w:tcPr>
          <w:p>
            <w:r/>
            <w:r>
              <w:rPr>
                <w:rFonts w:ascii="Calibri" w:hAnsi="Calibri"/>
                <w:b w:val="0"/>
                <w:sz w:val="18"/>
              </w:rPr>
              <w:t>no (declared)</w:t>
            </w:r>
          </w:p>
        </w:tc>
      </w:tr>
      <w:tr>
        <w:tc>
          <w:tcPr>
            <w:tcW w:type="dxa" w:w="2436"/>
          </w:tcPr>
          <w:p>
            <w:r/>
            <w:r>
              <w:rPr>
                <w:rFonts w:ascii="Calibri" w:hAnsi="Calibri"/>
                <w:b w:val="0"/>
                <w:sz w:val="18"/>
              </w:rPr>
              <w:t>b13_varioref</w:t>
            </w:r>
          </w:p>
        </w:tc>
        <w:tc>
          <w:tcPr>
            <w:tcW w:type="dxa" w:w="2436"/>
          </w:tcPr>
          <w:p>
            <w:r/>
            <w:r>
              <w:rPr>
                <w:rFonts w:ascii="Calibri" w:hAnsi="Calibri"/>
                <w:b w:val="0"/>
                <w:sz w:val="18"/>
              </w:rPr>
              <w:t>2</w:t>
            </w:r>
          </w:p>
        </w:tc>
        <w:tc>
          <w:tcPr>
            <w:tcW w:type="dxa" w:w="2436"/>
          </w:tcPr>
          <w:p>
            <w:r/>
            <w:r>
              <w:rPr>
                <w:rFonts w:ascii="Calibri" w:hAnsi="Calibri"/>
                <w:b w:val="0"/>
                <w:sz w:val="18"/>
              </w:rPr>
              <w:t>divergent(8)</w:t>
            </w:r>
          </w:p>
        </w:tc>
        <w:tc>
          <w:tcPr>
            <w:tcW w:type="dxa" w:w="2436"/>
          </w:tcPr>
          <w:p>
            <w:r/>
            <w:r>
              <w:rPr>
                <w:rFonts w:ascii="Calibri" w:hAnsi="Calibri"/>
                <w:b w:val="0"/>
                <w:sz w:val="18"/>
              </w:rPr>
              <w:t>no (declared)</w:t>
            </w:r>
          </w:p>
        </w:tc>
      </w:tr>
    </w:tbl>
    <w:p/>
    <w:p>
      <w:pPr>
        <w:spacing w:after="160"/>
      </w:pPr>
      <w:r>
        <w:rPr>
          <w:rFonts w:ascii="Calibri" w:hAnsi="Calibri"/>
          <w:b w:val="0"/>
          <w:sz w:val="22"/>
        </w:rPr>
        <w:t>The only three violations are the three documents declared as false negatives before implementation. There are no undeclared violations.</w:t>
      </w:r>
    </w:p>
    <w:p>
      <w:pPr>
        <w:keepNext/>
        <w:spacing w:after="160"/>
      </w:pPr>
      <w:r>
        <w:rPr>
          <w:rFonts w:ascii="Calibri" w:hAnsi="Calibri"/>
          <w:b/>
          <w:sz w:val="22"/>
        </w:rPr>
        <w:t>Findings:</w:t>
      </w:r>
    </w:p>
    <w:p>
      <w:pPr>
        <w:pStyle w:val="ListBullet"/>
        <w:spacing w:after="80"/>
      </w:pPr>
      <w:r>
        <w:rPr>
          <w:rFonts w:ascii="Calibri" w:hAnsi="Calibri"/>
          <w:sz w:val="22"/>
        </w:rPr>
        <w:t>Baseline A reports success on all six non-convergent documents (b08, b10, b11 to b14) and is wrong on each of them.</w:t>
      </w:r>
    </w:p>
    <w:p>
      <w:pPr>
        <w:pStyle w:val="ListBullet"/>
        <w:spacing w:after="80"/>
      </w:pPr>
      <w:r>
        <w:rPr>
          <w:rFonts w:ascii="Calibri" w:hAnsi="Calibri"/>
          <w:sz w:val="22"/>
        </w:rPr>
        <w:t>Baseline B reports CONVERGED after one run on b10_random in all ten repetitions. Ground truth for b10_random is divergent(8).</w:t>
      </w:r>
    </w:p>
    <w:p>
      <w:pPr>
        <w:pStyle w:val="ListBullet"/>
        <w:spacing w:after="80"/>
      </w:pPr>
      <w:r>
        <w:rPr>
          <w:rFonts w:ascii="Calibri" w:hAnsi="Calibri"/>
          <w:sz w:val="22"/>
        </w:rPr>
        <w:t>On b11_width, b12_float, and b13_varioref, static analysis alone (D) certifies the document wrongly, as declared. Baseline E keeps running past the prediction and reports cap_exceeded at six runs in all 30 repetitions.</w:t>
      </w:r>
    </w:p>
    <w:p>
      <w:pPr>
        <w:pStyle w:val="ListBullet"/>
        <w:spacing w:after="80"/>
      </w:pPr>
      <w:r>
        <w:rPr>
          <w:rFonts w:ascii="Calibri" w:hAnsi="Calibri"/>
          <w:sz w:val="22"/>
        </w:rPr>
        <w:t>latexmk and latexrun also fail to converge on b11_width, b12_float, and b13_varioref. Tectonic stops b08_cycle at its 6-pass limit, and Typst rejects a port of b08_cycle with 'loop seems to be infinite'.</w:t>
      </w:r>
    </w:p>
    <w:p>
      <w:pPr>
        <w:pStyle w:val="ListBullet"/>
        <w:spacing w:after="80"/>
      </w:pPr>
      <w:r>
        <w:rPr>
          <w:rFonts w:ascii="Calibri" w:hAnsi="Calibri"/>
          <w:sz w:val="22"/>
        </w:rPr>
        <w:t>Static analysis (D) finishes in under 10 ms on every document. The largest case, b09_thesis with 91 facts and 73 edges, has a median of 9.65 ms.</w:t>
      </w:r>
    </w:p>
    <w:p>
      <w:pPr>
        <w:pStyle w:val="ListBullet"/>
        <w:spacing w:after="80"/>
      </w:pPr>
      <w:r>
        <w:rPr>
          <w:rFonts w:ascii="Calibri" w:hAnsi="Calibri"/>
          <w:sz w:val="22"/>
        </w:rPr>
        <w:t>b01_plain needs two runs under E although N* is 1. pdfTeX writes \@abspage@last on every run, so the verifier needs a second run to see two equal states.</w:t>
      </w:r>
    </w:p>
    <w:p>
      <w:pPr>
        <w:jc w:val="center"/>
      </w:pPr>
      <w:r>
        <w:drawing>
          <wp:inline xmlns:a="http://schemas.openxmlformats.org/drawingml/2006/main" xmlns:pic="http://schemas.openxmlformats.org/drawingml/2006/picture">
            <wp:extent cx="5580000" cy="2575385"/>
            <wp:docPr id="5" name="Picture 5"/>
            <wp:cNvGraphicFramePr>
              <a:graphicFrameLocks noChangeAspect="1"/>
            </wp:cNvGraphicFramePr>
            <a:graphic>
              <a:graphicData uri="http://schemas.openxmlformats.org/drawingml/2006/picture">
                <pic:pic>
                  <pic:nvPicPr>
                    <pic:cNvPr id="0" name="executions.png"/>
                    <pic:cNvPicPr/>
                  </pic:nvPicPr>
                  <pic:blipFill>
                    <a:blip r:embed="rId13"/>
                    <a:stretch>
                      <a:fillRect/>
                    </a:stretch>
                  </pic:blipFill>
                  <pic:spPr>
                    <a:xfrm>
                      <a:off x="0" y="0"/>
                      <a:ext cx="5580000" cy="2575385"/>
                    </a:xfrm>
                    <a:prstGeom prst="rect"/>
                  </pic:spPr>
                </pic:pic>
              </a:graphicData>
            </a:graphic>
          </wp:inline>
        </w:drawing>
      </w:r>
    </w:p>
    <w:p>
      <w:pPr>
        <w:spacing w:after="200"/>
        <w:jc w:val="center"/>
      </w:pPr>
      <w:r>
        <w:rPr>
          <w:i/>
          <w:color w:val="5A5A5A"/>
          <w:sz w:val="20"/>
        </w:rPr>
        <w:t>Engine executions to certify, per document and baseline</w:t>
      </w:r>
    </w:p>
    <w:p>
      <w:pPr>
        <w:keepNext/>
        <w:spacing w:after="160"/>
      </w:pPr>
      <w:r>
        <w:rPr>
          <w:rFonts w:ascii="Calibri" w:hAnsi="Calibri"/>
          <w:b/>
          <w:sz w:val="22"/>
        </w:rPr>
        <w:t>Limitations:</w:t>
      </w:r>
    </w:p>
    <w:p>
      <w:pPr>
        <w:pStyle w:val="ListBullet"/>
        <w:spacing w:after="80"/>
      </w:pPr>
      <w:r>
        <w:rPr>
          <w:rFonts w:ascii="Calibri" w:hAnsi="Calibri"/>
          <w:sz w:val="22"/>
        </w:rPr>
        <w:t>The corpus has 15 documents, and most are synthetic. All runs used one machine.</w:t>
      </w:r>
    </w:p>
    <w:p>
      <w:pPr>
        <w:pStyle w:val="ListBullet"/>
        <w:spacing w:after="80"/>
      </w:pPr>
      <w:r>
        <w:rPr>
          <w:rFonts w:ascii="Calibri" w:hAnsi="Calibri"/>
          <w:sz w:val="22"/>
        </w:rPr>
        <w:t>The static model does not see line-break width, float placement, or varioref text feedback. Runtime verification catches these cases.</w:t>
      </w:r>
    </w:p>
    <w:p>
      <w:pPr>
        <w:pStyle w:val="ListBullet"/>
        <w:spacing w:after="80"/>
      </w:pPr>
      <w:r>
        <w:rPr>
          <w:rFonts w:ascii="Calibri" w:hAnsi="Calibri"/>
          <w:sz w:val="22"/>
        </w:rPr>
        <w:t>Tectonic ran fully offline on only b01_plain and b08_cycle. The latexmk and latexrun cross-check covers all 15 documents.</w:t>
      </w:r>
    </w:p>
    <w:p>
      <w:pPr>
        <w:spacing w:before="360" w:after="120"/>
        <w:pBdr>
          <w:bottom w:val="single" w:sz="6" w:space="4" w:color="1B3A57"/>
        </w:pBdr>
      </w:pPr>
      <w:r>
        <w:rPr>
          <w:rFonts w:ascii="Calibri" w:hAnsi="Calibri"/>
          <w:b/>
          <w:color w:val="0D1B2A"/>
          <w:sz w:val="32"/>
        </w:rPr>
        <w:t>5. Novelty</w:t>
      </w:r>
    </w:p>
    <w:p>
      <w:pPr>
        <w:pStyle w:val="ListBullet"/>
        <w:spacing w:after="80"/>
      </w:pPr>
      <w:r>
        <w:rPr>
          <w:rFonts w:ascii="Calibri" w:hAnsi="Calibri"/>
          <w:sz w:val="22"/>
        </w:rPr>
        <w:t>Static classification of multi-pass convergence from source, before any engine run. latexmk, latexrun, and Tectonic decide only after each run.</w:t>
      </w:r>
    </w:p>
    <w:p>
      <w:pPr>
        <w:pStyle w:val="ListBullet"/>
        <w:spacing w:after="80"/>
      </w:pPr>
      <w:r>
        <w:rPr>
          <w:rFonts w:ascii="Calibri" w:hAnsi="Calibri"/>
          <w:sz w:val="22"/>
        </w:rPr>
        <w:t>The exists/value split in the IR, which keeps ordinary documents acyclic.</w:t>
      </w:r>
    </w:p>
    <w:p>
      <w:pPr>
        <w:pStyle w:val="ListBullet"/>
        <w:spacing w:after="80"/>
      </w:pPr>
      <w:r>
        <w:rPr>
          <w:rFonts w:ascii="Calibri" w:hAnsi="Calibri"/>
          <w:sz w:val="22"/>
        </w:rPr>
        <w:t>Four states that separate value-only cycles from cycles that change how much content is generated.</w:t>
      </w:r>
    </w:p>
    <w:p>
      <w:pPr>
        <w:pStyle w:val="ListBullet"/>
        <w:spacing w:after="80"/>
      </w:pPr>
      <w:r>
        <w:rPr>
          <w:rFonts w:ascii="Calibri" w:hAnsi="Calibri"/>
          <w:sz w:val="22"/>
        </w:rPr>
        <w:t>A static prediction paired with a runtime verifier that records prediction misses.</w:t>
      </w:r>
    </w:p>
    <w:p>
      <w:pPr>
        <w:spacing w:before="360" w:after="120"/>
        <w:pBdr>
          <w:bottom w:val="single" w:sz="6" w:space="4" w:color="1B3A57"/>
        </w:pBdr>
      </w:pPr>
      <w:r>
        <w:rPr>
          <w:rFonts w:ascii="Calibri" w:hAnsi="Calibri"/>
          <w:b/>
          <w:color w:val="0D1B2A"/>
          <w:sz w:val="32"/>
        </w:rPr>
        <w:t>6. Remaining Work and Future Scope</w:t>
      </w:r>
    </w:p>
    <w:p>
      <w:pPr>
        <w:pStyle w:val="ListBullet"/>
        <w:spacing w:after="80"/>
      </w:pPr>
      <w:r>
        <w:rPr>
          <w:rFonts w:ascii="Calibri" w:hAnsi="Calibri"/>
          <w:sz w:val="22"/>
        </w:rPr>
        <w:t>Write the research paper. The paper/ directory has the section structure.</w:t>
      </w:r>
    </w:p>
    <w:p>
      <w:pPr>
        <w:pStyle w:val="ListBullet"/>
        <w:spacing w:after="80"/>
      </w:pPr>
      <w:r>
        <w:rPr>
          <w:rFonts w:ascii="Calibri" w:hAnsi="Calibri"/>
          <w:sz w:val="22"/>
        </w:rPr>
        <w:t>Model more packages, so fewer documents classify UNKNOWN.</w:t>
      </w:r>
    </w:p>
    <w:p>
      <w:pPr>
        <w:pStyle w:val="ListBullet"/>
        <w:spacing w:after="80"/>
      </w:pPr>
      <w:r>
        <w:rPr>
          <w:rFonts w:ascii="Calibri" w:hAnsi="Calibri"/>
          <w:sz w:val="22"/>
        </w:rPr>
        <w:t>Prove a run-count bound for benign cycles.</w:t>
      </w:r>
    </w:p>
    <w:p>
      <w:pPr>
        <w:spacing w:before="360" w:after="120"/>
        <w:pBdr>
          <w:bottom w:val="single" w:sz="6" w:space="4" w:color="1B3A57"/>
        </w:pBdr>
      </w:pPr>
      <w:r>
        <w:rPr>
          <w:rFonts w:ascii="Calibri" w:hAnsi="Calibri"/>
          <w:b/>
          <w:color w:val="0D1B2A"/>
          <w:sz w:val="32"/>
        </w:rPr>
        <w:t>7. Reproduction</w:t>
      </w:r>
    </w:p>
    <w:p>
      <w:pPr>
        <w:spacing w:after="160"/>
      </w:pPr>
      <w:r>
        <w:rPr>
          <w:rFonts w:ascii="Calibri" w:hAnsi="Calibri"/>
          <w:b w:val="0"/>
          <w:sz w:val="22"/>
        </w:rPr>
        <w:t>bash bench/demo.sh runs the full pipeline on b08_cycle and b11_width and compares each verdict with the published measurements. Every number in this document comes from bench/results/published/ and docs/EVALUATION-REPORT.md.</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